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CEF1" w14:textId="77777777" w:rsidR="00613914" w:rsidRDefault="00613914" w:rsidP="00613914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6A7BB111" w14:textId="6FF956D5" w:rsidR="00613914" w:rsidRDefault="00613914" w:rsidP="00613914">
      <w:pPr>
        <w:spacing w:after="0" w:line="276" w:lineRule="auto"/>
        <w:ind w:left="-567"/>
      </w:pPr>
      <w:r w:rsidRPr="00FD2D9B">
        <w:rPr>
          <w:rFonts w:cs="Arial"/>
          <w:b/>
          <w:color w:val="808080"/>
          <w:szCs w:val="20"/>
          <w:lang w:eastAsia="hu-HU"/>
        </w:rPr>
        <w:t>Kiadja</w:t>
      </w:r>
      <w:r w:rsidRPr="00FD2D9B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FD2D9B">
        <w:rPr>
          <w:rFonts w:cs="Arial"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Budapest, 2021-0</w:t>
      </w:r>
      <w:r w:rsidR="00655F16">
        <w:rPr>
          <w:rFonts w:cs="Arial"/>
          <w:color w:val="808080"/>
          <w:szCs w:val="20"/>
          <w:lang w:eastAsia="hu-HU"/>
        </w:rPr>
        <w:t>4-29</w:t>
      </w:r>
    </w:p>
    <w:p w14:paraId="540C37DB" w14:textId="77777777" w:rsidR="00613914" w:rsidRDefault="00613914" w:rsidP="006708E1">
      <w:pPr>
        <w:pStyle w:val="Szvegtrzs"/>
        <w:spacing w:after="0"/>
        <w:ind w:left="-284" w:right="-284"/>
        <w:jc w:val="center"/>
        <w:rPr>
          <w:rFonts w:cs="Arial"/>
          <w:b/>
          <w:bCs/>
          <w:color w:val="F79546"/>
          <w:sz w:val="40"/>
          <w:szCs w:val="40"/>
          <w:lang w:eastAsia="hu-HU"/>
        </w:rPr>
      </w:pPr>
    </w:p>
    <w:p w14:paraId="549D6D03" w14:textId="1FCF3316" w:rsidR="00701F3F" w:rsidRDefault="00655F16" w:rsidP="00655F16">
      <w:pPr>
        <w:pStyle w:val="Szvegtrzs"/>
        <w:spacing w:after="0"/>
        <w:ind w:left="-284" w:right="-284"/>
        <w:jc w:val="center"/>
        <w:rPr>
          <w:rFonts w:cs="Arial"/>
          <w:b/>
          <w:bCs/>
          <w:color w:val="F79546"/>
          <w:sz w:val="40"/>
          <w:szCs w:val="40"/>
          <w:lang w:eastAsia="hu-HU"/>
        </w:rPr>
      </w:pPr>
      <w:r w:rsidRPr="00655F16">
        <w:rPr>
          <w:rFonts w:cs="Arial"/>
          <w:b/>
          <w:bCs/>
          <w:color w:val="F79546"/>
          <w:sz w:val="40"/>
          <w:szCs w:val="40"/>
          <w:lang w:eastAsia="hu-HU"/>
        </w:rPr>
        <w:t>Koronavírus utáni rekreáció – új lendületet kaphatnak a gyógyfürdők?</w:t>
      </w:r>
    </w:p>
    <w:p w14:paraId="6AE793F4" w14:textId="77777777" w:rsidR="00655F16" w:rsidRDefault="00655F16" w:rsidP="006708E1">
      <w:pPr>
        <w:pStyle w:val="Szvegtrzs"/>
        <w:spacing w:after="0"/>
        <w:ind w:left="-284" w:right="-284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02647DBD" w14:textId="6035A2DB" w:rsidR="00613914" w:rsidRDefault="00655F16" w:rsidP="006708E1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bookmarkStart w:id="0" w:name="_Hlk64888042"/>
      <w:r w:rsidRPr="00655F16">
        <w:rPr>
          <w:rFonts w:cs="Arial"/>
          <w:b/>
          <w:bCs/>
          <w:color w:val="808080" w:themeColor="background1" w:themeShade="80"/>
          <w:szCs w:val="20"/>
        </w:rPr>
        <w:t xml:space="preserve">Négymillió oltottnál megnyithatnak – egyelőre a védettségi igazolvánnyal rendelkező látogatók számára – a hotelek, fürdők és wellness-szolgáltatások. Dr. </w:t>
      </w:r>
      <w:proofErr w:type="spellStart"/>
      <w:r w:rsidRPr="00655F16">
        <w:rPr>
          <w:rFonts w:cs="Arial"/>
          <w:b/>
          <w:bCs/>
          <w:color w:val="808080" w:themeColor="background1" w:themeShade="80"/>
          <w:szCs w:val="20"/>
        </w:rPr>
        <w:t>Melanie</w:t>
      </w:r>
      <w:proofErr w:type="spellEnd"/>
      <w:r w:rsidRPr="00655F16">
        <w:rPr>
          <w:rFonts w:cs="Arial"/>
          <w:b/>
          <w:bCs/>
          <w:color w:val="808080" w:themeColor="background1" w:themeShade="80"/>
          <w:szCs w:val="20"/>
        </w:rPr>
        <w:t xml:space="preserve"> Smith, a Budapesti Metropolitan Egyetem oktatója szerint a koronavírus után nagyobb szükség lesz a wellnessre, mint valaha, a termál- és gyógyfürdők számára pedig új lendületet hozhat a rekreáció iránti megnövekedett igény.</w:t>
      </w:r>
    </w:p>
    <w:p w14:paraId="04B58E3E" w14:textId="77777777" w:rsidR="00655F16" w:rsidRDefault="00655F16" w:rsidP="006708E1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</w:p>
    <w:bookmarkEnd w:id="0"/>
    <w:p w14:paraId="52390F68" w14:textId="6425E649" w:rsidR="00701F3F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 xml:space="preserve">Tavaly márciusban bezártak a fürdők, a május-júniusi fokozatos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újranyitás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pedig csak néhány hónapra hozott megkönnyebbülést a szektor számára. Az újabb korlátozások értelmében november óta ismét nem fogadhatnak vendégeket a létesítmények, kivéve a gyógyfürdőket és a sportolók által használt egyes uszodákat. A fürdők a közel 70 százalékos forgalomcsökkenést dolgozói létszámcsökkentéssel és a marketingköltés minimalizálásával kellett, hogy túléljék.</w:t>
      </w:r>
    </w:p>
    <w:p w14:paraId="1D0078A8" w14:textId="36217B5B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1C06413A" w14:textId="375213F2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 xml:space="preserve">Dr.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Melanie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Smith, a Budapesti Metropolitan Egyetem Turizmus és Marketing Intézetének oktatója egy nagyszabású, másfél évig tartó kutatás résztvevőjeként azt vizsgálta, hogyan alakultak át a visegrádi országokban a korábban államilag támogatott és orvosi céllal működtetett gyógyfürdők, melyek ma már kiemelt turistacélpontok. A </w:t>
      </w:r>
      <w:hyperlink r:id="rId6" w:history="1">
        <w:r w:rsidRPr="00655F16">
          <w:rPr>
            <w:rStyle w:val="Hiperhivatkozs"/>
            <w:rFonts w:cs="Arial"/>
            <w:szCs w:val="20"/>
          </w:rPr>
          <w:t>WellSpaV4 tanulmány</w:t>
        </w:r>
      </w:hyperlink>
      <w:r w:rsidRPr="00655F16">
        <w:rPr>
          <w:rFonts w:cs="Arial"/>
          <w:color w:val="808080" w:themeColor="background1" w:themeShade="80"/>
          <w:szCs w:val="20"/>
        </w:rPr>
        <w:t xml:space="preserve"> konkrét javaslatokat is megfogalmaz a termál- és gyógyfürdők üzemeltetői számára a koronavírus utáni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talpraállás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időszakára. A téma jól illeszkedik a Metropolitan Turizmus és Vendéglátás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BSc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szakának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Egészségturizmus specializációjához, valamint az intézmény mesterképzésein elindított Egészségturizmus, Wellness és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Spa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kurzushoz.</w:t>
      </w:r>
    </w:p>
    <w:p w14:paraId="62D3F278" w14:textId="7809D156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2BB0D817" w14:textId="598AB970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>A tanulmány a termál- és gyógyfürdő szektor magyar, szlovák, cseh és lengyel szakértőinek tapasztalatait gyűjtötte össze. Magyarországról a Danubius Hotels cégcsoport és a Magyar Turisztikai Ügynökség képviselőivel, illetve regionális fejlesztési szakemberekkel készült mélyinterjú. A tanulmány azokra a fürdőkre koncentrált, amelyek az orvosi vagy balneológiai kategóriába tartoznak, azaz amelyeknek egyszerre kell kiszolgálnia az egészségügyi okokból beutalt vendégeket, és azokat, akik önköltségen veszik igénybe a szolgáltatásokat.</w:t>
      </w:r>
    </w:p>
    <w:p w14:paraId="39F8D102" w14:textId="197712F8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081F7463" w14:textId="5121071D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r w:rsidRPr="00655F16">
        <w:rPr>
          <w:rFonts w:cs="Arial"/>
          <w:b/>
          <w:bCs/>
          <w:color w:val="808080" w:themeColor="background1" w:themeShade="80"/>
          <w:szCs w:val="20"/>
        </w:rPr>
        <w:t>Egy medencén osztozik három generáció</w:t>
      </w:r>
    </w:p>
    <w:p w14:paraId="0888F00D" w14:textId="2AA6207E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 xml:space="preserve">A gyógyfürdők számára a legnagyobb kihívást az ebből fakadó eltérő igények jelentik: egyszerre kell kiszolgálniuk a nyugodt pihenésre és a különböző élményekre, szórakoztató lehetőségekre vágyókat, a külföldi, fizető vendégeket és az orvosi ellátást igénylő, térítésmentesen érkező közönséget. </w:t>
      </w:r>
    </w:p>
    <w:p w14:paraId="42393BEB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086DDB26" w14:textId="624A6C64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 xml:space="preserve">A fürdőkben egy közösségi téren osztozik mindenki: az aktív, csoportos élményeket, például a gyógyfürdős bulikat és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aqua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parkokat kedvelő Z és Y generáció, a párok, akik minőségi időre, pihenésre és speciális szolgáltatásokra, például masszázsra vágynak, az egyedülálló, magasan képzett, 30-50 év közötti nők, akik inkább a szépségápolási szolgáltatásokat, a kényeztetést, a kikapcsolódást keresik, a kisgyermekes családok, akik gyermekbarát, tiszta létesítményekre vágynak kismedencével és aktív szórakozással, és az idősebb vendégek, akik konkrét egészségügyi problémákkal, néha speciális kezelési igényekkel keresik fel a fürdőket.</w:t>
      </w:r>
    </w:p>
    <w:p w14:paraId="5C2D27E5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797CEBA9" w14:textId="6FCE64F7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i/>
          <w:iCs/>
          <w:color w:val="808080" w:themeColor="background1" w:themeShade="80"/>
          <w:szCs w:val="20"/>
        </w:rPr>
        <w:t>„Sok létesítmény egyszerre az összes célcsoportot igyekszik kiszolgálni, a WellSpaV4 tanulmány azonban pont ennek lehetetlenségére mutat rá</w:t>
      </w:r>
      <w:r w:rsidRPr="00655F16">
        <w:rPr>
          <w:rFonts w:cs="Arial"/>
          <w:color w:val="808080" w:themeColor="background1" w:themeShade="80"/>
          <w:szCs w:val="20"/>
        </w:rPr>
        <w:t xml:space="preserve"> – tette hozzá Dr.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Melanie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Smith. – </w:t>
      </w:r>
      <w:r w:rsidRPr="00655F16">
        <w:rPr>
          <w:rFonts w:cs="Arial"/>
          <w:i/>
          <w:iCs/>
          <w:color w:val="808080" w:themeColor="background1" w:themeShade="80"/>
          <w:szCs w:val="20"/>
        </w:rPr>
        <w:t xml:space="preserve">A termál- és gyógyfürdők több vendéget vonzanának és elkerülhetnék a konfliktusokat, ha nem mindenkire vagy három generációra, hanem </w:t>
      </w:r>
      <w:r w:rsidRPr="00655F16">
        <w:rPr>
          <w:rFonts w:cs="Arial"/>
          <w:i/>
          <w:iCs/>
          <w:color w:val="808080" w:themeColor="background1" w:themeShade="80"/>
          <w:szCs w:val="20"/>
        </w:rPr>
        <w:lastRenderedPageBreak/>
        <w:t>kifejezetten egy-egy célcsoportra fókuszálnának. Ez komoly előrelépést hozhatna a felhasználói csoportok konfliktusainak kezelésében, vagy csúcsidőben a túlzsúfoltság elkerülésében.”</w:t>
      </w:r>
    </w:p>
    <w:p w14:paraId="5C0443B3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4869AEB3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r w:rsidRPr="00655F16">
        <w:rPr>
          <w:rFonts w:cs="Arial"/>
          <w:b/>
          <w:bCs/>
          <w:color w:val="808080" w:themeColor="background1" w:themeShade="80"/>
          <w:szCs w:val="20"/>
        </w:rPr>
        <w:t>Fejlesztési lehetőségek Magyarországon</w:t>
      </w:r>
    </w:p>
    <w:p w14:paraId="195FF00E" w14:textId="4004B73B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>A négy vizsgált ország termál- és gyógyfürdő szektora a tanulmány szerint hasonló problémákkal küzd. A fürdőknek megfelelő anyagi támogatás nélkül kell megfelelniük a nemzetközi fizető vendégek elvárásainak, és további probléma a létesítményekben dolgozók alacsony képzettsége és fizetése is. Mind a négy ország szakértői szerint az elsődleges cél az infrastruktúra fejlesztése, a minőségi szolgáltatások kialakítása, elsősorban a fizető vendégek számára. További nehézség, hogy bár a wellness-szolgáltatások egyre népszerűbbek a fiatalok és a turisták körében, a V4 országok gyógyfürdőiben még mindig az egészségügyi kezelésekre helyezik a hangsúlyt.</w:t>
      </w:r>
    </w:p>
    <w:p w14:paraId="0FF61D4A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10891990" w14:textId="2F731F9D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 xml:space="preserve">A tanulmány szerint a magyarországi fürdők több lehetőséget kellene kínáljanak a természettel való kapcsolódásra és a szabadtéri testmozgásra, valamint bővíteniük kéne az ételkínálatot könnyű és egészséges fogásokkal, illetve vegetáriánus opciókkal. Fontos továbbá a fenntarthatóság – célszerű lenne ügyelni az energiafogyasztásra, a megbízható alapanyagok használatára és a helyi beszállítók alkalmazására. </w:t>
      </w:r>
    </w:p>
    <w:p w14:paraId="6E90A957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76A65FEF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 xml:space="preserve">Az interjúalanyok szerint a magyar társadalomnak alapvetően több ismeretre lenne szüksége a megelőzés fontossága és az egészséges életmód terén.  Hasonlóan fontos, hogy a fürdők folyamatosan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monitorozzák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a látogatók véleményét és igényeit, és a szolgáltatások fejlesztésével párhuzamosan a munkaerőt is képezzék.</w:t>
      </w:r>
    </w:p>
    <w:p w14:paraId="67BB3D9F" w14:textId="72EBA3B3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>Így indulhatnak újra a gyógyfürdők</w:t>
      </w:r>
    </w:p>
    <w:p w14:paraId="54F3FE64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1537E8E3" w14:textId="4BCFBE75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 xml:space="preserve">Dr.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Melanie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Smith szerint a fürdők megfelelő karbantartás mellett már most az egyik legtisztább és leghigiénikusabb közösségi környezetnek számítanak, de a nyitás után kulcsfontosságú, hogy a tisztaság elsődleges szempont legyen nemcsak a kezelőszobákban, hanem a recepciókon, éttermekben, öltözőkben és zuhanyzókban is. A szabadban is végezhető wellness-aktivitásokat a fürdőknek érdemes kiköltöztetnie. Mivel a legtöbb hazai létesítményre jellemző, hogy csúcsidőben kifejezetten zsúfoltak, a nyitás után meg kell találni a megfelelő módszereket a látogatók számának korlátozására.</w:t>
      </w:r>
    </w:p>
    <w:p w14:paraId="7BCA7EBE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1CEE0410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b/>
          <w:bCs/>
          <w:color w:val="808080" w:themeColor="background1" w:themeShade="80"/>
          <w:szCs w:val="20"/>
        </w:rPr>
      </w:pPr>
      <w:r w:rsidRPr="00655F16">
        <w:rPr>
          <w:rFonts w:cs="Arial"/>
          <w:b/>
          <w:bCs/>
          <w:color w:val="808080" w:themeColor="background1" w:themeShade="80"/>
          <w:szCs w:val="20"/>
        </w:rPr>
        <w:t>Rehabilitáció, mint üzleti lehetőség a COVID után</w:t>
      </w:r>
    </w:p>
    <w:p w14:paraId="721EAB1B" w14:textId="226D42F9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 xml:space="preserve">Bár a koronavírus rövid- és hosszútávú hatásait még mindig vizsgálják, azt már biztosan tudjuk, hogy fizikai és mentális regenerálódásra is szüksége lehet a víruson átesetteknek. A termál- és gyógyfürdők szolgáltatásai kifejezetten jó hatással lehetnek a visszamaradó légzőszervi problémákra, a gyógyhatású víz pedig segít ellazítani az izmokat és megnyugtatni az elmét. A tanulmány szerint a hazai fürdőknek is érdemes kihangsúlyozniuk ezeket a pozitív hatásokat a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talpraállás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időszakában, amely komoly üzleti lehetőséget jelenthet a létesítményeknek. A gyógyfürdők akár speciális programokat is kínálhatnak azoknak, akiknek tüdő- és légzési problémái voltak a COVID-fertőzés miatt – erre Franciaországban már van példa. </w:t>
      </w:r>
    </w:p>
    <w:p w14:paraId="54AF1F5A" w14:textId="77777777" w:rsidR="00655F16" w:rsidRP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7B1AC371" w14:textId="668A4FC0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  <w:r w:rsidRPr="00655F16">
        <w:rPr>
          <w:rFonts w:cs="Arial"/>
          <w:color w:val="808080" w:themeColor="background1" w:themeShade="80"/>
          <w:szCs w:val="20"/>
        </w:rPr>
        <w:t xml:space="preserve">A wellness-szolgáltatások azoknak is segíthetnek, akik nehezen élték meg a </w:t>
      </w:r>
      <w:proofErr w:type="spellStart"/>
      <w:r w:rsidRPr="00655F16">
        <w:rPr>
          <w:rFonts w:cs="Arial"/>
          <w:color w:val="808080" w:themeColor="background1" w:themeShade="80"/>
          <w:szCs w:val="20"/>
        </w:rPr>
        <w:t>pandémiát</w:t>
      </w:r>
      <w:proofErr w:type="spellEnd"/>
      <w:r w:rsidRPr="00655F16">
        <w:rPr>
          <w:rFonts w:cs="Arial"/>
          <w:color w:val="808080" w:themeColor="background1" w:themeShade="80"/>
          <w:szCs w:val="20"/>
        </w:rPr>
        <w:t xml:space="preserve"> azzal, hogy csökkentik a stresszt, kiszakítják a látogatót a kötelezettségek és a technológia világából és lehetőséget adnak arra, hogy egy kis időt egyedül töltsön a vendég. A gyógyhatású víz segít kikapcsolódni és ellazulni, ezáltal segít a vérnyomásproblémákon és a szorongáson is, továbbá erősíti az immunrendszert, azaz ellenállóbbá teheti a szervezetet a vírussal szemben.</w:t>
      </w:r>
    </w:p>
    <w:p w14:paraId="63225F53" w14:textId="38AFE68B" w:rsidR="00655F16" w:rsidRDefault="00655F16" w:rsidP="00655F16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4F2C31D8" w14:textId="6653BCF7" w:rsidR="00655F16" w:rsidRDefault="00655F16" w:rsidP="00655F16">
      <w:pPr>
        <w:spacing w:after="0" w:line="276" w:lineRule="auto"/>
        <w:ind w:left="-284" w:right="-284"/>
        <w:jc w:val="center"/>
        <w:rPr>
          <w:rFonts w:cs="Arial"/>
          <w:color w:val="808080" w:themeColor="background1" w:themeShade="80"/>
          <w:szCs w:val="20"/>
        </w:rPr>
      </w:pPr>
      <w:r>
        <w:rPr>
          <w:rFonts w:cs="Arial"/>
          <w:color w:val="808080" w:themeColor="background1" w:themeShade="80"/>
          <w:szCs w:val="20"/>
        </w:rPr>
        <w:t>###</w:t>
      </w:r>
    </w:p>
    <w:p w14:paraId="5112B06E" w14:textId="77777777" w:rsidR="00AA0A56" w:rsidRDefault="00AA0A56" w:rsidP="006708E1">
      <w:pPr>
        <w:spacing w:after="0" w:line="276" w:lineRule="auto"/>
        <w:ind w:left="-284" w:right="-284"/>
        <w:jc w:val="both"/>
        <w:rPr>
          <w:rFonts w:cs="Arial"/>
          <w:color w:val="808080" w:themeColor="background1" w:themeShade="80"/>
          <w:szCs w:val="20"/>
        </w:rPr>
      </w:pPr>
    </w:p>
    <w:p w14:paraId="1B554ED7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i/>
          <w:iCs/>
          <w:color w:val="808080"/>
          <w:sz w:val="22"/>
          <w:szCs w:val="22"/>
          <w:u w:val="single"/>
        </w:rPr>
        <w:t>A Budapesti Metropolitan Egyetemről</w:t>
      </w:r>
      <w:r>
        <w:rPr>
          <w:rStyle w:val="eop"/>
          <w:rFonts w:ascii="Arial" w:hAnsi="Arial" w:cs="Arial"/>
          <w:color w:val="808080"/>
          <w:sz w:val="22"/>
          <w:szCs w:val="22"/>
        </w:rPr>
        <w:t> </w:t>
      </w:r>
    </w:p>
    <w:p w14:paraId="32BE4D0C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32 alapszak, 34 mesterszak, 15 szakirányú továbbképzés és 7 felsőoktatási szakképzés közül választhatnak az egyetem iránt érdeklődők. A Metropolitannek jelenleg több mint 7000 hallgatója van, közel 900 külföldi diákkal a világ 110 országából. </w:t>
      </w:r>
      <w:r>
        <w:rPr>
          <w:rStyle w:val="scxw204731273"/>
          <w:rFonts w:ascii="Arial" w:hAnsi="Arial" w:cs="Arial"/>
          <w:color w:val="808080"/>
          <w:sz w:val="16"/>
          <w:szCs w:val="16"/>
        </w:rPr>
        <w:t> </w:t>
      </w:r>
      <w:r>
        <w:rPr>
          <w:rFonts w:ascii="Arial" w:hAnsi="Arial" w:cs="Arial"/>
          <w:color w:val="808080"/>
          <w:sz w:val="16"/>
          <w:szCs w:val="16"/>
        </w:rPr>
        <w:br/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Az intézmény 2001 óta meghatározó és dinamikusan fejlődő szereplője a hazai felsőoktatásnak 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>é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s immár a kelet-k</w:t>
      </w:r>
      <w:r>
        <w:rPr>
          <w:rStyle w:val="normaltextrun1"/>
          <w:rFonts w:ascii="Calibri" w:hAnsi="Calibri" w:cs="Calibri"/>
          <w:color w:val="808080"/>
          <w:sz w:val="16"/>
          <w:szCs w:val="16"/>
        </w:rPr>
        <w:t xml:space="preserve">özép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>európai régiónak is. Jelenleg 5 kontinensen, közel 200 külföldi intézménnyel tart fenn partneri kapcsolatot.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499E8F03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lastRenderedPageBreak/>
        <w:t xml:space="preserve">2020-ban új kategóriát vezetett be az egyetem; az </w:t>
      </w:r>
      <w:r>
        <w:rPr>
          <w:rStyle w:val="normaltextrun1"/>
          <w:rFonts w:ascii="Arial" w:hAnsi="Arial" w:cs="Arial"/>
          <w:i/>
          <w:iCs/>
          <w:color w:val="808080"/>
          <w:sz w:val="16"/>
          <w:szCs w:val="16"/>
        </w:rPr>
        <w:t xml:space="preserve">Alkotóegyetem </w:t>
      </w: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egyaránt utal a piacon egyedülálló portfólió alapú képzési módszerre, az egyetem szakmai küldetésére és a METU hallgatói és oktatói közegének egyik leghangsúlyosabb jellemzőjére is. Az alkotóegyetem-koncepcióhoz vezető út egyik legfontosabb lépése a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portfólió alapú oktatási módszer 2018-as bevezetése volt.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62E15522" w14:textId="77777777" w:rsidR="00701F3F" w:rsidRDefault="00701F3F" w:rsidP="006708E1">
      <w:pPr>
        <w:pStyle w:val="paragraph"/>
        <w:ind w:left="-284" w:right="-284"/>
        <w:jc w:val="both"/>
        <w:textAlignment w:val="baseline"/>
      </w:pPr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A METU </w:t>
      </w:r>
      <w:proofErr w:type="spellStart"/>
      <w:r>
        <w:rPr>
          <w:rStyle w:val="spellingerror"/>
          <w:rFonts w:ascii="Arial" w:hAnsi="Arial" w:cs="Arial"/>
          <w:color w:val="808080"/>
          <w:sz w:val="16"/>
          <w:szCs w:val="16"/>
        </w:rPr>
        <w:t>myBRAND</w:t>
      </w:r>
      <w:proofErr w:type="spellEnd"/>
      <w:r>
        <w:rPr>
          <w:rStyle w:val="normaltextrun1"/>
          <w:rFonts w:ascii="Arial" w:hAnsi="Arial" w:cs="Arial"/>
          <w:color w:val="808080"/>
          <w:sz w:val="16"/>
          <w:szCs w:val="16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  <w:r>
        <w:rPr>
          <w:rStyle w:val="eop"/>
          <w:rFonts w:ascii="Arial" w:hAnsi="Arial" w:cs="Arial"/>
          <w:color w:val="808080"/>
          <w:sz w:val="16"/>
          <w:szCs w:val="16"/>
        </w:rPr>
        <w:t> </w:t>
      </w:r>
    </w:p>
    <w:p w14:paraId="798BDA88" w14:textId="77777777" w:rsidR="00701F3F" w:rsidRDefault="00701F3F" w:rsidP="006708E1">
      <w:pPr>
        <w:pStyle w:val="paragraph"/>
        <w:ind w:left="-284" w:right="-284"/>
        <w:textAlignment w:val="baseline"/>
      </w:pPr>
      <w:r>
        <w:rPr>
          <w:rStyle w:val="eop"/>
          <w:rFonts w:ascii="Arial" w:hAnsi="Arial" w:cs="Arial"/>
          <w:color w:val="595959"/>
          <w:sz w:val="30"/>
          <w:szCs w:val="30"/>
        </w:rPr>
        <w:t> </w:t>
      </w:r>
    </w:p>
    <w:p w14:paraId="054B83CD" w14:textId="77777777" w:rsidR="00701F3F" w:rsidRDefault="00701F3F" w:rsidP="006708E1">
      <w:pPr>
        <w:spacing w:after="0" w:line="276" w:lineRule="auto"/>
        <w:ind w:left="-284" w:right="-284"/>
        <w:jc w:val="both"/>
      </w:pPr>
    </w:p>
    <w:p w14:paraId="3D0C14A2" w14:textId="77777777" w:rsidR="00701F3F" w:rsidRDefault="00701F3F" w:rsidP="006708E1">
      <w:pPr>
        <w:spacing w:after="0" w:line="276" w:lineRule="auto"/>
        <w:ind w:left="-284" w:right="-284"/>
        <w:jc w:val="both"/>
      </w:pPr>
    </w:p>
    <w:p w14:paraId="1380576E" w14:textId="77777777" w:rsidR="002F1951" w:rsidRDefault="002F1951" w:rsidP="006708E1">
      <w:pPr>
        <w:ind w:left="-284" w:right="-284"/>
      </w:pPr>
    </w:p>
    <w:sectPr w:rsidR="002F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4CE9" w14:textId="77777777" w:rsidR="0043779F" w:rsidRDefault="0043779F" w:rsidP="00613914">
      <w:pPr>
        <w:spacing w:after="0"/>
      </w:pPr>
      <w:r>
        <w:separator/>
      </w:r>
    </w:p>
  </w:endnote>
  <w:endnote w:type="continuationSeparator" w:id="0">
    <w:p w14:paraId="51FC63E0" w14:textId="77777777" w:rsidR="0043779F" w:rsidRDefault="0043779F" w:rsidP="00613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1610" w14:textId="77777777" w:rsidR="0043779F" w:rsidRDefault="0043779F" w:rsidP="00613914">
      <w:pPr>
        <w:spacing w:after="0"/>
      </w:pPr>
      <w:r>
        <w:separator/>
      </w:r>
    </w:p>
  </w:footnote>
  <w:footnote w:type="continuationSeparator" w:id="0">
    <w:p w14:paraId="0E00E98C" w14:textId="77777777" w:rsidR="0043779F" w:rsidRDefault="0043779F" w:rsidP="006139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3F"/>
    <w:rsid w:val="00004157"/>
    <w:rsid w:val="000509EC"/>
    <w:rsid w:val="000C356B"/>
    <w:rsid w:val="000C60EC"/>
    <w:rsid w:val="000C69EB"/>
    <w:rsid w:val="002F1951"/>
    <w:rsid w:val="00424928"/>
    <w:rsid w:val="0043779F"/>
    <w:rsid w:val="0057517F"/>
    <w:rsid w:val="00613914"/>
    <w:rsid w:val="00654D25"/>
    <w:rsid w:val="00655F16"/>
    <w:rsid w:val="006708E1"/>
    <w:rsid w:val="00701F3F"/>
    <w:rsid w:val="00820AAC"/>
    <w:rsid w:val="00A76BCB"/>
    <w:rsid w:val="00AA0A56"/>
    <w:rsid w:val="00AB243A"/>
    <w:rsid w:val="00B16258"/>
    <w:rsid w:val="00B34881"/>
    <w:rsid w:val="00BC58F3"/>
    <w:rsid w:val="00D47F13"/>
    <w:rsid w:val="00D66C94"/>
    <w:rsid w:val="00D9467E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3C7"/>
  <w15:chartTrackingRefBased/>
  <w15:docId w15:val="{B8F9E171-9736-49F3-BC85-CC2378F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1F3F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qFormat/>
    <w:rsid w:val="00701F3F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701F3F"/>
  </w:style>
  <w:style w:type="paragraph" w:styleId="Szvegtrzs">
    <w:name w:val="Body Text"/>
    <w:basedOn w:val="Norml"/>
    <w:link w:val="SzvegtrzsChar"/>
    <w:rsid w:val="00701F3F"/>
    <w:pPr>
      <w:spacing w:after="140" w:line="276" w:lineRule="auto"/>
    </w:pPr>
  </w:style>
  <w:style w:type="character" w:customStyle="1" w:styleId="SzvegtrzsChar">
    <w:name w:val="Szövegtörzs Char"/>
    <w:basedOn w:val="Bekezdsalapbettpusa"/>
    <w:link w:val="Szvegtrzs"/>
    <w:rsid w:val="00701F3F"/>
    <w:rPr>
      <w:rFonts w:ascii="Arial" w:eastAsia="Times New Roman" w:hAnsi="Arial" w:cs="Times New Roman"/>
      <w:sz w:val="20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701F3F"/>
    <w:rPr>
      <w:rFonts w:asciiTheme="minorHAnsi" w:eastAsiaTheme="minorHAnsi" w:hAnsiTheme="minorHAnsi" w:cstheme="minorBidi"/>
      <w:sz w:val="22"/>
    </w:rPr>
  </w:style>
  <w:style w:type="character" w:customStyle="1" w:styleId="JegyzetszvegChar1">
    <w:name w:val="Jegyzetszöveg Char1"/>
    <w:basedOn w:val="Bekezdsalapbettpusa"/>
    <w:uiPriority w:val="99"/>
    <w:semiHidden/>
    <w:rsid w:val="00701F3F"/>
    <w:rPr>
      <w:rFonts w:ascii="Arial" w:eastAsia="Times New Roman" w:hAnsi="Arial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1F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3F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l"/>
    <w:rsid w:val="00701F3F"/>
    <w:pPr>
      <w:spacing w:after="0"/>
    </w:pPr>
    <w:rPr>
      <w:rFonts w:ascii="Times New Roman" w:hAnsi="Times New Roman"/>
      <w:sz w:val="24"/>
      <w:szCs w:val="24"/>
      <w:lang w:eastAsia="hu-HU"/>
    </w:rPr>
  </w:style>
  <w:style w:type="character" w:customStyle="1" w:styleId="spellingerror">
    <w:name w:val="spellingerror"/>
    <w:basedOn w:val="Bekezdsalapbettpusa"/>
    <w:rsid w:val="00701F3F"/>
  </w:style>
  <w:style w:type="character" w:customStyle="1" w:styleId="normaltextrun1">
    <w:name w:val="normaltextrun1"/>
    <w:basedOn w:val="Bekezdsalapbettpusa"/>
    <w:rsid w:val="00701F3F"/>
  </w:style>
  <w:style w:type="character" w:customStyle="1" w:styleId="eop">
    <w:name w:val="eop"/>
    <w:basedOn w:val="Bekezdsalapbettpusa"/>
    <w:rsid w:val="00701F3F"/>
  </w:style>
  <w:style w:type="character" w:customStyle="1" w:styleId="scxw204731273">
    <w:name w:val="scxw204731273"/>
    <w:basedOn w:val="Bekezdsalapbettpusa"/>
    <w:rsid w:val="00701F3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0A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0AAC"/>
    <w:rPr>
      <w:rFonts w:ascii="Arial" w:eastAsia="Times New Roman" w:hAnsi="Arial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1391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13914"/>
    <w:rPr>
      <w:rFonts w:ascii="Arial" w:eastAsia="Times New Roman" w:hAnsi="Arial" w:cs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61391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13914"/>
    <w:rPr>
      <w:rFonts w:ascii="Arial" w:eastAsia="Times New Roman" w:hAnsi="Arial" w:cs="Times New Roman"/>
      <w:sz w:val="20"/>
    </w:rPr>
  </w:style>
  <w:style w:type="character" w:styleId="Kiemels">
    <w:name w:val="Emphasis"/>
    <w:basedOn w:val="Bekezdsalapbettpusa"/>
    <w:uiPriority w:val="20"/>
    <w:qFormat/>
    <w:rsid w:val="00AA0A5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55F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55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43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0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044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03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6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59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1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69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78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1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07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4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94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79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ropolitan.hu/innovacios-projekt-kozpont-wellspav4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3" ma:contentTypeDescription="Új dokumentum létrehozása." ma:contentTypeScope="" ma:versionID="06640eecf3e0b125ce0a87dbe67a5b7d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b8f9590e49dc9ad05e8424ad33f68085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08464F1E-0808-43C6-8AF0-0A33676043CC}"/>
</file>

<file path=customXml/itemProps2.xml><?xml version="1.0" encoding="utf-8"?>
<ds:datastoreItem xmlns:ds="http://schemas.openxmlformats.org/officeDocument/2006/customXml" ds:itemID="{37C65C76-27B9-409A-8FA0-53B8E00E91D9}"/>
</file>

<file path=customXml/itemProps3.xml><?xml version="1.0" encoding="utf-8"?>
<ds:datastoreItem xmlns:ds="http://schemas.openxmlformats.org/officeDocument/2006/customXml" ds:itemID="{CE3281F7-A136-43E2-9679-5F8AF2C93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1091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Alexandra</dc:creator>
  <cp:keywords/>
  <dc:description/>
  <cp:lastModifiedBy>Varga Dóra</cp:lastModifiedBy>
  <cp:revision>3</cp:revision>
  <dcterms:created xsi:type="dcterms:W3CDTF">2021-04-29T09:01:00Z</dcterms:created>
  <dcterms:modified xsi:type="dcterms:W3CDTF">2021-04-29T09:05:00Z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